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73" w:rsidRPr="00CF4799" w:rsidRDefault="004D5473" w:rsidP="004D5473">
      <w:pPr>
        <w:jc w:val="center"/>
      </w:pPr>
      <w:r w:rsidRPr="004D5473">
        <w:rPr>
          <w:rFonts w:cs="EUAlbertina"/>
          <w:b/>
          <w:bCs/>
          <w:color w:val="000000"/>
          <w:sz w:val="24"/>
          <w:szCs w:val="24"/>
        </w:rPr>
        <w:t>ZAHTJEV ZA STATUS REGISTRIRANOG IZVOZNIKA</w:t>
      </w:r>
      <w:r w:rsidRPr="00CF4799">
        <w:br/>
      </w:r>
      <w:r w:rsidRPr="009C0DEB">
        <w:t>za potrebe sustava općih carinskih povlastica Europske unije, Norveške, Švicarske i Turske (1)</w:t>
      </w:r>
    </w:p>
    <w:tbl>
      <w:tblPr>
        <w:tblW w:w="9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9"/>
      </w:tblGrid>
      <w:tr w:rsidR="004D5473" w:rsidRPr="00CF4799" w:rsidTr="00962AED">
        <w:trPr>
          <w:trHeight w:val="125"/>
        </w:trPr>
        <w:tc>
          <w:tcPr>
            <w:tcW w:w="9059" w:type="dxa"/>
            <w:shd w:val="clear" w:color="auto" w:fill="auto"/>
          </w:tcPr>
          <w:p w:rsidR="004D5473" w:rsidRPr="00FD1F9B" w:rsidRDefault="004D5473" w:rsidP="00C73C35">
            <w:pPr>
              <w:spacing w:before="120" w:after="120"/>
              <w:outlineLvl w:val="0"/>
              <w:rPr>
                <w:rFonts w:ascii="Times New Roman" w:hAnsi="Times New Roman"/>
                <w:bCs/>
                <w:iCs/>
                <w:szCs w:val="24"/>
                <w:lang w:eastAsia="de-DE"/>
              </w:rPr>
            </w:pPr>
            <w:bookmarkStart w:id="0" w:name="_Toc447288758"/>
            <w:bookmarkStart w:id="1" w:name="_Toc456007005"/>
            <w:r w:rsidRPr="00FD1F9B">
              <w:rPr>
                <w:rFonts w:ascii="Times New Roman" w:hAnsi="Times New Roman"/>
                <w:bCs/>
                <w:szCs w:val="24"/>
                <w:lang w:eastAsia="de-DE"/>
              </w:rPr>
              <w:t xml:space="preserve">1. Ime, puna adresa i zemlja izvoznika </w:t>
            </w:r>
            <w:r w:rsidR="00310348" w:rsidRPr="00FD1F9B">
              <w:rPr>
                <w:rFonts w:ascii="Times New Roman" w:hAnsi="Times New Roman"/>
                <w:bCs/>
                <w:szCs w:val="24"/>
                <w:lang w:eastAsia="de-DE"/>
              </w:rPr>
              <w:t xml:space="preserve">, podaci za kontakt </w:t>
            </w:r>
            <w:r w:rsidRPr="00FD1F9B">
              <w:rPr>
                <w:rFonts w:ascii="Times New Roman" w:hAnsi="Times New Roman"/>
                <w:bCs/>
                <w:szCs w:val="24"/>
                <w:lang w:eastAsia="de-DE"/>
              </w:rPr>
              <w:t>te brojevi EORI ili TIN (2).</w:t>
            </w:r>
            <w:bookmarkEnd w:id="0"/>
            <w:bookmarkEnd w:id="1"/>
          </w:p>
          <w:p w:rsidR="004D5473" w:rsidRPr="00FD1F9B" w:rsidRDefault="004D5473" w:rsidP="00C73C35">
            <w:pPr>
              <w:rPr>
                <w:lang w:eastAsia="de-DE"/>
              </w:rPr>
            </w:pPr>
          </w:p>
          <w:p w:rsidR="004D5473" w:rsidRPr="00FD1F9B" w:rsidRDefault="004D5473" w:rsidP="00C73C35">
            <w:pPr>
              <w:spacing w:after="0"/>
              <w:rPr>
                <w:rFonts w:ascii="Times New Roman" w:hAnsi="Times New Roman"/>
                <w:szCs w:val="24"/>
                <w:lang w:eastAsia="de-DE"/>
              </w:rPr>
            </w:pPr>
          </w:p>
        </w:tc>
      </w:tr>
      <w:tr w:rsidR="004D5473" w:rsidRPr="00CF4799" w:rsidTr="00962AED">
        <w:trPr>
          <w:trHeight w:val="125"/>
        </w:trPr>
        <w:tc>
          <w:tcPr>
            <w:tcW w:w="9059" w:type="dxa"/>
            <w:shd w:val="clear" w:color="auto" w:fill="auto"/>
          </w:tcPr>
          <w:p w:rsidR="004D5473" w:rsidRPr="00CF4799" w:rsidRDefault="004D5473" w:rsidP="00310348">
            <w:pPr>
              <w:ind w:left="176" w:hanging="176"/>
              <w:rPr>
                <w:rFonts w:ascii="Times New Roman" w:hAnsi="Times New Roman"/>
                <w:bCs/>
                <w:iCs/>
                <w:szCs w:val="24"/>
                <w:lang w:eastAsia="en-GB"/>
              </w:rPr>
            </w:pP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>2.</w:t>
            </w:r>
            <w:r>
              <w:t xml:space="preserve"> </w:t>
            </w:r>
            <w:r w:rsidR="00310348">
              <w:t>Dodatni p</w:t>
            </w: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odaci za kontakt, uključujući broj telefona i telefaksa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, i ako postoji, adresa e-pošte (nije obavezno).</w:t>
            </w: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iCs/>
                <w:szCs w:val="24"/>
                <w:lang w:eastAsia="en-GB"/>
              </w:rPr>
            </w:pP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</w:tc>
      </w:tr>
      <w:tr w:rsidR="004D5473" w:rsidRPr="00CF4799" w:rsidTr="00962AED">
        <w:trPr>
          <w:trHeight w:val="125"/>
        </w:trPr>
        <w:tc>
          <w:tcPr>
            <w:tcW w:w="9059" w:type="dxa"/>
            <w:shd w:val="clear" w:color="auto" w:fill="auto"/>
          </w:tcPr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>3.</w:t>
            </w:r>
            <w:r w:rsidRPr="00CF4799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Navesti je li glavna djelatnost proizvodnja ili trgovina.</w:t>
            </w: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Pr="00CF4799" w:rsidRDefault="004D5473" w:rsidP="00C73C35">
            <w:pPr>
              <w:rPr>
                <w:rFonts w:ascii="Times New Roman" w:hAnsi="Times New Roman"/>
                <w:szCs w:val="24"/>
                <w:lang w:eastAsia="en-GB"/>
              </w:rPr>
            </w:pPr>
          </w:p>
        </w:tc>
      </w:tr>
      <w:tr w:rsidR="004D5473" w:rsidRPr="00CF4799" w:rsidTr="00962AED">
        <w:trPr>
          <w:trHeight w:val="125"/>
        </w:trPr>
        <w:tc>
          <w:tcPr>
            <w:tcW w:w="9059" w:type="dxa"/>
            <w:shd w:val="clear" w:color="auto" w:fill="auto"/>
          </w:tcPr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 xml:space="preserve">4. </w:t>
            </w: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Indikativni opis robe koja ispunjava uvjete za povlašteno postupanje, uključujući indikativni popis tarifnih brojeva Harmoniziranog sustava (ili poglavlja ako je roba kojom se trguje razvrstana u više od dvadeset tarifnih brojeva Harmoniziranog sustava).</w:t>
            </w: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FD1F9B" w:rsidRPr="00CF4799" w:rsidRDefault="00FD1F9B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CF4A73" w:rsidRPr="00CF4799" w:rsidRDefault="00CF4A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</w:tc>
      </w:tr>
      <w:tr w:rsidR="004D5473" w:rsidRPr="00CF4799" w:rsidTr="00962AED">
        <w:trPr>
          <w:trHeight w:val="125"/>
        </w:trPr>
        <w:tc>
          <w:tcPr>
            <w:tcW w:w="9059" w:type="dxa"/>
            <w:shd w:val="clear" w:color="auto" w:fill="auto"/>
          </w:tcPr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lastRenderedPageBreak/>
              <w:t xml:space="preserve">5. </w:t>
            </w: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Obvezujuća izjava koju daje izvoznik</w:t>
            </w:r>
            <w:r w:rsidRPr="008C389C" w:rsidDel="007F6A72">
              <w:rPr>
                <w:rFonts w:ascii="Times New Roman" w:hAnsi="Times New Roman"/>
                <w:bCs/>
                <w:szCs w:val="24"/>
                <w:lang w:eastAsia="en-GB"/>
              </w:rPr>
              <w:t xml:space="preserve"> </w:t>
            </w:r>
          </w:p>
          <w:p w:rsidR="004D5473" w:rsidRPr="00CF4799" w:rsidRDefault="004D5473" w:rsidP="00C73C35">
            <w:pPr>
              <w:spacing w:after="60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Niže potpisan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a osoba</w:t>
            </w: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:</w:t>
            </w:r>
          </w:p>
          <w:p w:rsidR="004D5473" w:rsidRDefault="004D5473" w:rsidP="004D547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7F6A72">
              <w:rPr>
                <w:rFonts w:ascii="Times New Roman" w:hAnsi="Times New Roman"/>
                <w:bCs/>
                <w:szCs w:val="24"/>
                <w:lang w:eastAsia="en-GB"/>
              </w:rPr>
              <w:t>izjavljuje da su prethodno navedeni podaci točni;</w:t>
            </w:r>
          </w:p>
          <w:p w:rsidR="004D5473" w:rsidRDefault="004D5473" w:rsidP="004D547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>potvrđuje da ni jedna prethodna registracija nije opozvana; odnosno, u slučaju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 xml:space="preserve"> opoziva potvrđuje da je uklonjena</w:t>
            </w: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nesukladnost koja je dovela do tog opoziva;</w:t>
            </w:r>
          </w:p>
          <w:p w:rsidR="004D5473" w:rsidRDefault="004D5473" w:rsidP="004D547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obvezuje se dati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tvrdnje</w:t>
            </w: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o podrijetlu samo za robu koja ispunjava uvjete za povlašteno postupanje i koja ispunjava uvjete o podrijetlu određene za navedenu robu u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Općem sustavu povlastica;</w:t>
            </w:r>
          </w:p>
          <w:p w:rsidR="004D5473" w:rsidRPr="00ED7C84" w:rsidRDefault="00310348" w:rsidP="004D547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Cs w:val="24"/>
                <w:lang w:eastAsia="en-GB"/>
              </w:rPr>
              <w:t>obvezuje se č</w:t>
            </w:r>
            <w:r w:rsidR="004D5473"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uvati odgovarajuću trgovačku računovodstvenu dokumentaciju za proizvodnju/nabavu robe koja ispunjava uvjete za povlašteno postupanje najmanje tri godine od završetka kalendarske godine u kojoj je sastavljena </w:t>
            </w:r>
            <w:r>
              <w:rPr>
                <w:rFonts w:ascii="Times New Roman" w:hAnsi="Times New Roman"/>
                <w:bCs/>
                <w:szCs w:val="24"/>
                <w:lang w:eastAsia="en-GB"/>
              </w:rPr>
              <w:t>tvrdnja</w:t>
            </w:r>
            <w:r w:rsidR="004D5473"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 o podrijetlu;</w:t>
            </w:r>
          </w:p>
          <w:p w:rsidR="004D5473" w:rsidRDefault="004D5473" w:rsidP="004D547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obvezuje se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odmah</w:t>
            </w: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obavijestiti nadležno tijelo o novonastalim promjenama svojih registracijskih podataka od stjecanja broja registriranog izvoznika;</w:t>
            </w:r>
          </w:p>
          <w:p w:rsidR="004D5473" w:rsidRPr="00CF4799" w:rsidRDefault="004D5473" w:rsidP="004D5473">
            <w:pPr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>obvezuje se surađivati s nadležnim tijelom;</w:t>
            </w:r>
          </w:p>
          <w:p w:rsidR="004D5473" w:rsidRPr="00CF4799" w:rsidRDefault="004D5473" w:rsidP="004D5473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567695">
              <w:rPr>
                <w:rFonts w:ascii="Times New Roman" w:hAnsi="Times New Roman"/>
                <w:bCs/>
                <w:szCs w:val="24"/>
                <w:lang w:eastAsia="en-GB"/>
              </w:rPr>
              <w:t xml:space="preserve">obvezuje se prihvatiti sve provjere točnosti svojih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tvrdnji</w:t>
            </w:r>
            <w:r w:rsidRPr="00567695">
              <w:rPr>
                <w:rFonts w:ascii="Times New Roman" w:hAnsi="Times New Roman"/>
                <w:bCs/>
                <w:szCs w:val="24"/>
                <w:lang w:eastAsia="en-GB"/>
              </w:rPr>
              <w:t xml:space="preserve"> o podrijetlu, uključujući provjeru računovodstvenih podataka i posjete Europske komisije ili tijela država članica, kao i tijela Norveške, Švicarske i Turske nje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zinim</w:t>
            </w:r>
            <w:r w:rsidRPr="00567695">
              <w:rPr>
                <w:rFonts w:ascii="Times New Roman" w:hAnsi="Times New Roman"/>
                <w:bCs/>
                <w:szCs w:val="24"/>
                <w:lang w:eastAsia="en-GB"/>
              </w:rPr>
              <w:t xml:space="preserve"> poslovnim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 xml:space="preserve"> </w:t>
            </w:r>
            <w:r w:rsidRPr="00567695">
              <w:rPr>
                <w:rFonts w:ascii="Times New Roman" w:hAnsi="Times New Roman"/>
                <w:bCs/>
                <w:szCs w:val="24"/>
                <w:lang w:eastAsia="en-GB"/>
              </w:rPr>
              <w:t xml:space="preserve"> prostorima (primjenjivo samo na izvoznike u državama korisnicama);</w:t>
            </w:r>
          </w:p>
          <w:p w:rsidR="004D5473" w:rsidRDefault="004D5473" w:rsidP="004D5473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obvezuje se zatražiti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opoziv svoje registracije u</w:t>
            </w: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 sustav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u</w:t>
            </w: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 ako više ne ispunjava uvjete za izvoz bilo koje robe na temelju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sustava</w:t>
            </w: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>;</w:t>
            </w:r>
          </w:p>
          <w:p w:rsidR="004D5473" w:rsidRDefault="004D5473" w:rsidP="004D5473">
            <w:pPr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obvezuje se zatražiti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opoziv svoje registracije u</w:t>
            </w: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 sustav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u</w:t>
            </w: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 xml:space="preserve"> ako više ne namjerava izvoziti takvu robu na temelju 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>sustava</w:t>
            </w:r>
            <w:r w:rsidRPr="003C414A">
              <w:rPr>
                <w:rFonts w:ascii="Times New Roman" w:hAnsi="Times New Roman"/>
                <w:bCs/>
                <w:szCs w:val="24"/>
                <w:lang w:eastAsia="en-GB"/>
              </w:rPr>
              <w:t>;</w:t>
            </w:r>
          </w:p>
          <w:p w:rsidR="00CF4A73" w:rsidRDefault="00CF4A73" w:rsidP="00C73C35">
            <w:pPr>
              <w:spacing w:before="120" w:after="60"/>
              <w:ind w:left="502"/>
              <w:rPr>
                <w:rFonts w:ascii="Times New Roman" w:hAnsi="Times New Roman"/>
                <w:bCs/>
                <w:szCs w:val="24"/>
                <w:lang w:eastAsia="en-GB"/>
              </w:rPr>
            </w:pPr>
          </w:p>
          <w:p w:rsidR="004D5473" w:rsidRPr="00CF4799" w:rsidRDefault="00CF4A73" w:rsidP="00CF4A73">
            <w:pPr>
              <w:spacing w:before="120" w:after="60"/>
              <w:ind w:left="37"/>
              <w:rPr>
                <w:rFonts w:ascii="Times New Roman" w:hAnsi="Times New Roman"/>
                <w:bCs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Cs w:val="24"/>
                <w:lang w:eastAsia="en-GB"/>
              </w:rPr>
              <w:t>----------------------------------------------------------------------------------------------------------------------</w:t>
            </w:r>
          </w:p>
          <w:p w:rsidR="004D5473" w:rsidRPr="00CF4799" w:rsidRDefault="004D5473" w:rsidP="00CF4A73">
            <w:pPr>
              <w:spacing w:line="480" w:lineRule="auto"/>
              <w:rPr>
                <w:rFonts w:ascii="Times New Roman" w:hAnsi="Times New Roman"/>
                <w:bCs/>
                <w:szCs w:val="24"/>
                <w:u w:val="single"/>
                <w:lang w:eastAsia="de-DE"/>
              </w:rPr>
            </w:pP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>Mjesto, datum, potpis ovlaštenog potpisnika, ime i položaj</w:t>
            </w:r>
            <w:r>
              <w:rPr>
                <w:rFonts w:ascii="Times New Roman" w:hAnsi="Times New Roman"/>
                <w:bCs/>
                <w:szCs w:val="24"/>
                <w:lang w:eastAsia="en-GB"/>
              </w:rPr>
              <w:t xml:space="preserve"> (3)</w:t>
            </w:r>
          </w:p>
        </w:tc>
      </w:tr>
      <w:tr w:rsidR="004D5473" w:rsidRPr="00CF4799" w:rsidTr="00962AED">
        <w:trPr>
          <w:trHeight w:val="125"/>
        </w:trPr>
        <w:tc>
          <w:tcPr>
            <w:tcW w:w="9059" w:type="dxa"/>
            <w:shd w:val="clear" w:color="auto" w:fill="auto"/>
          </w:tcPr>
          <w:p w:rsidR="004D5473" w:rsidRPr="00CF4799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>6</w:t>
            </w:r>
            <w:r w:rsidR="00FD1F9B">
              <w:t xml:space="preserve">. </w:t>
            </w: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>Prethodna dobrovoljna i izričita suglasnost izvoznika za objavu njegovih podataka na javnim internetskim stranicama</w:t>
            </w:r>
            <w:r w:rsidR="00310348">
              <w:rPr>
                <w:rFonts w:ascii="Times New Roman" w:hAnsi="Times New Roman"/>
                <w:bCs/>
                <w:szCs w:val="24"/>
                <w:lang w:eastAsia="en-GB"/>
              </w:rPr>
              <w:t xml:space="preserve"> </w:t>
            </w:r>
          </w:p>
          <w:p w:rsidR="004D5473" w:rsidRDefault="00310348" w:rsidP="00C73C35">
            <w:pPr>
              <w:spacing w:after="360"/>
              <w:rPr>
                <w:rFonts w:ascii="Times New Roman" w:hAnsi="Times New Roman"/>
                <w:bCs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Cs w:val="24"/>
                <w:lang w:eastAsia="en-GB"/>
              </w:rPr>
              <w:t xml:space="preserve">Niže potpisana osoba 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>obaviješten</w:t>
            </w:r>
            <w:r>
              <w:rPr>
                <w:rFonts w:ascii="Times New Roman" w:hAnsi="Times New Roman"/>
                <w:bCs/>
                <w:szCs w:val="24"/>
                <w:lang w:eastAsia="en-GB"/>
              </w:rPr>
              <w:t>a je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da podaci </w:t>
            </w:r>
            <w:r>
              <w:rPr>
                <w:rFonts w:ascii="Times New Roman" w:hAnsi="Times New Roman"/>
                <w:bCs/>
                <w:szCs w:val="24"/>
                <w:lang w:eastAsia="en-GB"/>
              </w:rPr>
              <w:t>pruženi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u ovoj deklaraciji mogu biti dostupni javnosti </w:t>
            </w:r>
            <w:r w:rsidR="0042434A">
              <w:rPr>
                <w:rFonts w:ascii="Times New Roman" w:hAnsi="Times New Roman"/>
                <w:bCs/>
                <w:szCs w:val="24"/>
                <w:lang w:eastAsia="en-GB"/>
              </w:rPr>
              <w:t xml:space="preserve">na javnim </w:t>
            </w:r>
            <w:r w:rsidR="00653EF2">
              <w:rPr>
                <w:rFonts w:ascii="Times New Roman" w:hAnsi="Times New Roman"/>
                <w:bCs/>
                <w:szCs w:val="24"/>
                <w:lang w:eastAsia="en-GB"/>
              </w:rPr>
              <w:t>internetskim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stranic</w:t>
            </w:r>
            <w:r w:rsidR="00653EF2">
              <w:rPr>
                <w:rFonts w:ascii="Times New Roman" w:hAnsi="Times New Roman"/>
                <w:bCs/>
                <w:szCs w:val="24"/>
                <w:lang w:eastAsia="en-GB"/>
              </w:rPr>
              <w:t>ama. Niže potpisana osoba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prihvaća objavu tih podataka </w:t>
            </w:r>
            <w:r w:rsidR="00653EF2">
              <w:rPr>
                <w:rFonts w:ascii="Times New Roman" w:hAnsi="Times New Roman"/>
                <w:bCs/>
                <w:szCs w:val="24"/>
                <w:lang w:eastAsia="en-GB"/>
              </w:rPr>
              <w:t>na javnim internetskim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stranica</w:t>
            </w:r>
            <w:r w:rsidR="00653EF2">
              <w:rPr>
                <w:rFonts w:ascii="Times New Roman" w:hAnsi="Times New Roman"/>
                <w:bCs/>
                <w:szCs w:val="24"/>
                <w:lang w:eastAsia="en-GB"/>
              </w:rPr>
              <w:t xml:space="preserve">ma. Niže potpisana osoba 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može povući svoju suglasnost za objavu tih podataka </w:t>
            </w:r>
            <w:r w:rsidR="00653EF2">
              <w:rPr>
                <w:rFonts w:ascii="Times New Roman" w:hAnsi="Times New Roman"/>
                <w:bCs/>
                <w:szCs w:val="24"/>
                <w:lang w:eastAsia="en-GB"/>
              </w:rPr>
              <w:t>na javnim internetskim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stranica</w:t>
            </w:r>
            <w:r w:rsidR="00653EF2">
              <w:rPr>
                <w:rFonts w:ascii="Times New Roman" w:hAnsi="Times New Roman"/>
                <w:bCs/>
                <w:szCs w:val="24"/>
                <w:lang w:eastAsia="en-GB"/>
              </w:rPr>
              <w:t>ma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podnošenjem zahtjeva nadležnom ti</w:t>
            </w:r>
            <w:r w:rsidR="00CF4A73">
              <w:rPr>
                <w:rFonts w:ascii="Times New Roman" w:hAnsi="Times New Roman"/>
                <w:bCs/>
                <w:szCs w:val="24"/>
                <w:lang w:eastAsia="en-GB"/>
              </w:rPr>
              <w:t>jelu odgovornom za registraciju.</w:t>
            </w:r>
          </w:p>
          <w:p w:rsidR="00962AED" w:rsidRPr="00CF4799" w:rsidRDefault="00CF4A73" w:rsidP="00CF4A73">
            <w:pPr>
              <w:spacing w:after="360"/>
              <w:rPr>
                <w:rFonts w:ascii="Times New Roman" w:hAnsi="Times New Roman"/>
                <w:bCs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Cs w:val="24"/>
                <w:lang w:eastAsia="en-GB"/>
              </w:rPr>
              <w:t>-----------------------------------------------------------------------------------------------------------------------</w:t>
            </w:r>
            <w:r w:rsidR="004D5473" w:rsidRPr="00ED7C84">
              <w:rPr>
                <w:rFonts w:ascii="Times New Roman" w:hAnsi="Times New Roman"/>
                <w:bCs/>
                <w:szCs w:val="24"/>
                <w:lang w:eastAsia="en-GB"/>
              </w:rPr>
              <w:t>Mjesto, datum, potpis ovlaštenog potpisnika, ime i položaj</w:t>
            </w:r>
            <w:r w:rsidR="00EA2F75">
              <w:rPr>
                <w:rFonts w:ascii="Times New Roman" w:hAnsi="Times New Roman"/>
                <w:bCs/>
                <w:szCs w:val="24"/>
                <w:lang w:eastAsia="en-GB"/>
              </w:rPr>
              <w:t xml:space="preserve"> (3)</w:t>
            </w:r>
          </w:p>
        </w:tc>
      </w:tr>
      <w:tr w:rsidR="004D5473" w:rsidRPr="00CF4799" w:rsidTr="00A15BE1">
        <w:trPr>
          <w:trHeight w:val="60"/>
        </w:trPr>
        <w:tc>
          <w:tcPr>
            <w:tcW w:w="9059" w:type="dxa"/>
            <w:shd w:val="clear" w:color="auto" w:fill="auto"/>
          </w:tcPr>
          <w:p w:rsidR="004D5473" w:rsidRDefault="004D5473" w:rsidP="00C73C35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>7.</w:t>
            </w:r>
            <w:r w:rsidRPr="00CF4799">
              <w:rPr>
                <w:rFonts w:ascii="Times New Roman" w:hAnsi="Times New Roman"/>
                <w:b/>
                <w:bCs/>
                <w:szCs w:val="24"/>
                <w:lang w:eastAsia="en-GB"/>
              </w:rPr>
              <w:t xml:space="preserve"> </w:t>
            </w: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>Polje popunjava nadležno tijelo</w:t>
            </w:r>
            <w:r w:rsidRPr="008C389C" w:rsidDel="00ED7C84">
              <w:rPr>
                <w:rFonts w:ascii="Times New Roman" w:hAnsi="Times New Roman"/>
                <w:bCs/>
                <w:szCs w:val="24"/>
                <w:lang w:eastAsia="en-GB"/>
              </w:rPr>
              <w:t xml:space="preserve"> </w:t>
            </w:r>
          </w:p>
          <w:p w:rsidR="004D5473" w:rsidRPr="00CF4799" w:rsidRDefault="004D5473" w:rsidP="00FD1F9B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ED7C84">
              <w:rPr>
                <w:rFonts w:ascii="Times New Roman" w:hAnsi="Times New Roman"/>
                <w:bCs/>
                <w:szCs w:val="24"/>
                <w:lang w:eastAsia="en-GB"/>
              </w:rPr>
              <w:t>Podnositelj zahtjeva registriran je pod sljedećim brojem:</w:t>
            </w:r>
          </w:p>
          <w:p w:rsidR="004D5473" w:rsidRPr="00CF4799" w:rsidRDefault="004D5473" w:rsidP="00FD1F9B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9628CD">
              <w:rPr>
                <w:rFonts w:ascii="Times New Roman" w:hAnsi="Times New Roman"/>
                <w:bCs/>
                <w:szCs w:val="24"/>
                <w:lang w:eastAsia="en-GB"/>
              </w:rPr>
              <w:t>Registracijski broj:</w:t>
            </w: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 xml:space="preserve"> …………………………………………………………………………..</w:t>
            </w:r>
          </w:p>
          <w:p w:rsidR="004D5473" w:rsidRPr="00CF4799" w:rsidRDefault="004D5473" w:rsidP="00FD1F9B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9628CD">
              <w:rPr>
                <w:rFonts w:ascii="Times New Roman" w:hAnsi="Times New Roman"/>
                <w:bCs/>
                <w:szCs w:val="24"/>
                <w:lang w:eastAsia="en-GB"/>
              </w:rPr>
              <w:t>Datum registracije</w:t>
            </w: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 xml:space="preserve"> ……………………………………………………………………..…….</w:t>
            </w:r>
          </w:p>
          <w:p w:rsidR="00FD1F9B" w:rsidRDefault="00EA2F75" w:rsidP="00FD1F9B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Cs w:val="24"/>
                <w:lang w:eastAsia="en-GB"/>
              </w:rPr>
              <w:t>Datum od kojeg je registracija važeća</w:t>
            </w:r>
            <w:r w:rsidR="004D5473">
              <w:rPr>
                <w:rFonts w:ascii="Times New Roman" w:hAnsi="Times New Roman"/>
                <w:bCs/>
                <w:szCs w:val="24"/>
                <w:lang w:eastAsia="en-GB"/>
              </w:rPr>
              <w:t xml:space="preserve"> </w:t>
            </w:r>
            <w:r w:rsidR="00FD1F9B">
              <w:rPr>
                <w:rFonts w:ascii="Times New Roman" w:hAnsi="Times New Roman"/>
                <w:bCs/>
                <w:szCs w:val="24"/>
                <w:lang w:eastAsia="en-GB"/>
              </w:rPr>
              <w:t>……………………………………………………….</w:t>
            </w:r>
          </w:p>
          <w:p w:rsidR="00FD1F9B" w:rsidRPr="00CF4799" w:rsidRDefault="004D5473" w:rsidP="00CF4A73">
            <w:pPr>
              <w:rPr>
                <w:rFonts w:ascii="Times New Roman" w:hAnsi="Times New Roman"/>
                <w:bCs/>
                <w:szCs w:val="24"/>
                <w:lang w:eastAsia="en-GB"/>
              </w:rPr>
            </w:pPr>
            <w:r w:rsidRPr="009628CD">
              <w:rPr>
                <w:rFonts w:ascii="Times New Roman" w:hAnsi="Times New Roman"/>
                <w:bCs/>
                <w:szCs w:val="24"/>
                <w:lang w:eastAsia="en-GB"/>
              </w:rPr>
              <w:t>Potpis i pečat</w:t>
            </w:r>
            <w:r w:rsidR="00EA2F75">
              <w:rPr>
                <w:rFonts w:ascii="Times New Roman" w:hAnsi="Times New Roman"/>
                <w:bCs/>
                <w:szCs w:val="24"/>
                <w:lang w:eastAsia="en-GB"/>
              </w:rPr>
              <w:t xml:space="preserve"> (3)</w:t>
            </w:r>
            <w:r w:rsidRPr="008C389C" w:rsidDel="009628CD">
              <w:rPr>
                <w:rFonts w:ascii="Times New Roman" w:hAnsi="Times New Roman"/>
                <w:bCs/>
                <w:szCs w:val="24"/>
                <w:lang w:eastAsia="en-GB"/>
              </w:rPr>
              <w:t xml:space="preserve"> </w:t>
            </w:r>
            <w:r w:rsidRPr="00CF4799">
              <w:rPr>
                <w:rFonts w:ascii="Times New Roman" w:hAnsi="Times New Roman"/>
                <w:bCs/>
                <w:szCs w:val="24"/>
                <w:lang w:eastAsia="en-GB"/>
              </w:rPr>
              <w:t>…………………………………………………………………………</w:t>
            </w:r>
            <w:r w:rsidR="00FD1F9B">
              <w:rPr>
                <w:rFonts w:ascii="Times New Roman" w:hAnsi="Times New Roman"/>
                <w:bCs/>
                <w:szCs w:val="24"/>
                <w:lang w:eastAsia="en-GB"/>
              </w:rPr>
              <w:t>…..</w:t>
            </w:r>
            <w:bookmarkStart w:id="2" w:name="_GoBack"/>
            <w:bookmarkEnd w:id="2"/>
          </w:p>
        </w:tc>
      </w:tr>
      <w:tr w:rsidR="004D5473" w:rsidRPr="003C70E7" w:rsidTr="00FD1F9B">
        <w:trPr>
          <w:trHeight w:val="1207"/>
        </w:trPr>
        <w:tc>
          <w:tcPr>
            <w:tcW w:w="9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73" w:rsidRPr="00C17E53" w:rsidRDefault="004D5473" w:rsidP="00C73C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Obavijest</w:t>
            </w:r>
          </w:p>
          <w:p w:rsidR="004D5473" w:rsidRPr="00C17E53" w:rsidRDefault="004D5473" w:rsidP="00C73C35">
            <w:pPr>
              <w:widowControl w:val="0"/>
              <w:spacing w:after="60"/>
              <w:ind w:left="720" w:right="2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o zaštiti i obradi osobnih podataka u sustavu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6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Kada Europska komisija obrađuje osobne podatke iz ovog zahtjeva za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status registriranog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izvoznika, primjenjuje se Uredba (EZ) br. 45/2001 Europskog parlamenta i Vijeća o zaštiti pojedinaca u vezi s obradom osobnih podataka u institucijama i tijelima Unije i slobodi kretanja takvih podataka. Kada nadležna tijela države korisnice ili treće zemlje, koja provode Direktivu 95/46/EZ, obrađuju osobne podatke iz ovog zahtjeva za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status 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registr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iranog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izvoznika, primjenjuju se odgovarajuće nacionalne odredbe prethodno navedene Direktive.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57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Osobni podaci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povezani su zahtjevom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za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status registriranog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izvoznika obrađuju se za potrebe pravila Općeg sustava povlastica (OSP) EU-a o podrijetlu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kako su definirana u relevantnom zakonodavstvu EU-a. Predmetno zakonodavstvo kojim se utvrđuju pravila Općeg sustava povlastica EU-a o podrijetlu pravna je osnova za obradu osobnih podataka u vezi sa zahtjevom za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status registriranog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izvoznika.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93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Nadležno tijelo u državi u kojoj je zahtjev podnesen odgovorno je za nadzor u vezi s obradom osobnih podataka u sustavu REX. </w:t>
            </w:r>
          </w:p>
          <w:p w:rsidR="004D5473" w:rsidRPr="00C17E53" w:rsidRDefault="004D5473" w:rsidP="00C73C35">
            <w:pPr>
              <w:widowControl w:val="0"/>
              <w:spacing w:after="93"/>
              <w:ind w:left="743" w:right="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sz w:val="20"/>
                <w:szCs w:val="20"/>
                <w:lang w:eastAsia="en-GB"/>
              </w:rPr>
              <w:t>Popis nadležnih tijela/carinskih odjela objavljuje se na internetskim stranicama Komisije.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52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Pristup svim podacima tog zahtjeva odobrava se putem korisničkog imena/lozinke korisnicima u Komisiji, nadležnim tijelima država korisnica i carinskim tijelima u državama članicama, Norveškoj, Švicarskoj i Turskoj.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60" w:line="240" w:lineRule="auto"/>
              <w:ind w:right="20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Nadležna tijela države korisnice i carinska tijela država članica podatke opozvanih registracija pohranjuju u sustavu REX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u razdoblju od 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deset kalendarskih godina. To razdoblje počinje teći od kraja godine tijekom koje je došlo do opoziva registracije.</w:t>
            </w:r>
            <w:r w:rsidRPr="00C17E53">
              <w:rPr>
                <w:rFonts w:ascii="Times New Roman" w:hAnsi="Times New Roman"/>
                <w:iCs/>
                <w:sz w:val="20"/>
                <w:szCs w:val="20"/>
                <w:lang w:eastAsia="en-GB"/>
              </w:rPr>
              <w:t xml:space="preserve"> 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60" w:line="240" w:lineRule="auto"/>
              <w:ind w:right="20"/>
              <w:jc w:val="both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Osobe čiji se podaci obrađuju imaju pravo pristupa podacima koji se odnose na njih, a koji će se obraditi u sustavu REX i, prema potrebi, pravo izmjene, brisanja ili blokiranja podataka u skladu s Uredbom (EZ) br. 45/2001 ili nacionalnim propisima za provedbu Direktive 95/46/EZ. Svi zahtjevi za pravo pristupa, izmjene, brisanja ili blokiranja podnose se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na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obradu nadležnim tijelima država korisnica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,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odnosno carinskim tijelima država članica koje su nadležne za registraciju. Ako </w:t>
            </w:r>
            <w:r w:rsidR="007E62B7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registrirani izvoznik podnese</w:t>
            </w:r>
            <w:r w:rsidR="00EE106B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Komisiji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zahtjev za ostvarivanje tog prava, Komisija taj zahtjev prosljeđuje nadležnim tijelima </w:t>
            </w:r>
            <w:r w:rsidR="00EE106B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zemlje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korisnice odnosno carinskim tijelima predmetnih država članica. Ako registrirani izvoznik nije </w:t>
            </w:r>
            <w:r w:rsidR="00EE106B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uspio ostvariti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svoja prava </w:t>
            </w:r>
            <w:r w:rsidR="00EE106B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putem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tijel</w:t>
            </w:r>
            <w:r w:rsidR="00EE106B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a odgovornog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za nadzor obrade podataka, registrirani izvoznik podnosi takav zahtjev Komisiji, koja djeluje u funkciji nadzornog tijela. Komisija ima pravo izmjene, brisanja ili blokiranja podataka.</w:t>
            </w:r>
            <w:r w:rsidRPr="00C17E53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</w:p>
          <w:p w:rsidR="004D5473" w:rsidRPr="00C17E53" w:rsidRDefault="004D5473" w:rsidP="004D5473">
            <w:pPr>
              <w:widowControl w:val="0"/>
              <w:numPr>
                <w:ilvl w:val="0"/>
                <w:numId w:val="1"/>
              </w:numPr>
              <w:spacing w:before="120" w:after="6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Pritužbe se mogu uputiti odgovarajućem nacionalnom nadležnom tijelu za zaštitu podataka. </w:t>
            </w:r>
            <w:r w:rsidR="00EE106B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Podaci za kontakt</w:t>
            </w: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nacionalnih nadležnih tijela za zaštitu podataka dostupni su na internetskim stranicama Europske komisije, Glavne uprave za pravosuđe:</w:t>
            </w:r>
          </w:p>
          <w:p w:rsidR="00005D14" w:rsidRDefault="00A13374" w:rsidP="004D5473">
            <w:pPr>
              <w:widowControl w:val="0"/>
              <w:spacing w:before="120" w:after="60"/>
              <w:ind w:left="720" w:right="20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hyperlink r:id="rId6" w:history="1">
              <w:r w:rsidR="00005D14" w:rsidRPr="00877531">
                <w:rPr>
                  <w:rStyle w:val="Hiperveza"/>
                  <w:rFonts w:ascii="Times New Roman" w:hAnsi="Times New Roman"/>
                  <w:sz w:val="20"/>
                  <w:szCs w:val="20"/>
                  <w:lang w:eastAsia="en-GB"/>
                </w:rPr>
                <w:t>http://ec.europa.eu/justice/data-protection/bodies/authorities/index_en.htm</w:t>
              </w:r>
            </w:hyperlink>
          </w:p>
          <w:p w:rsidR="004D5473" w:rsidRPr="00C17E53" w:rsidRDefault="004D5473" w:rsidP="00C73C35">
            <w:pPr>
              <w:widowControl w:val="0"/>
              <w:spacing w:before="120" w:after="60"/>
              <w:ind w:left="720" w:right="20"/>
              <w:rPr>
                <w:rFonts w:ascii="Times New Roman" w:hAnsi="Times New Roman"/>
                <w:bCs/>
                <w:sz w:val="20"/>
                <w:szCs w:val="20"/>
                <w:lang w:eastAsia="en-GB"/>
              </w:rPr>
            </w:pPr>
            <w:r w:rsidRPr="00C17E5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Ako se pritužba odnosi na obradu podataka koju provodi Europska komisija, treba je uputiti Europskom nadzorniku za zaštitu podataka (EDPS) (http://www.edps.europa.eu/EDPSWEB/). </w:t>
            </w:r>
          </w:p>
        </w:tc>
      </w:tr>
    </w:tbl>
    <w:p w:rsidR="004D5473" w:rsidRPr="00C17E53" w:rsidRDefault="0045700A" w:rsidP="004D5473">
      <w:pPr>
        <w:spacing w:before="120" w:after="120"/>
        <w:ind w:left="850" w:hanging="850"/>
        <w:jc w:val="both"/>
        <w:rPr>
          <w:rFonts w:ascii="Times New Roman" w:hAnsi="Times New Roman"/>
          <w:sz w:val="20"/>
          <w:szCs w:val="20"/>
          <w:lang w:eastAsia="en-GB"/>
        </w:rPr>
      </w:pPr>
      <w:r w:rsidRPr="00C17E53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="004D5473" w:rsidRPr="00C17E53">
        <w:rPr>
          <w:rFonts w:ascii="Times New Roman" w:hAnsi="Times New Roman"/>
          <w:sz w:val="20"/>
          <w:szCs w:val="20"/>
          <w:lang w:eastAsia="en-GB"/>
        </w:rPr>
        <w:t>(1)</w:t>
      </w:r>
      <w:r w:rsidR="004D5473" w:rsidRPr="00C17E53">
        <w:rPr>
          <w:rFonts w:ascii="Times New Roman" w:hAnsi="Times New Roman"/>
          <w:sz w:val="20"/>
          <w:szCs w:val="20"/>
          <w:lang w:eastAsia="en-GB"/>
        </w:rPr>
        <w:tab/>
        <w:t>Ovaj je obrazac zajednički sustav</w:t>
      </w:r>
      <w:r w:rsidR="00EE106B">
        <w:rPr>
          <w:rFonts w:ascii="Times New Roman" w:hAnsi="Times New Roman"/>
          <w:sz w:val="20"/>
          <w:szCs w:val="20"/>
          <w:lang w:eastAsia="en-GB"/>
        </w:rPr>
        <w:t xml:space="preserve">ima OSP-a </w:t>
      </w:r>
      <w:r w:rsidR="004D5473" w:rsidRPr="00C17E53">
        <w:rPr>
          <w:rFonts w:ascii="Times New Roman" w:hAnsi="Times New Roman"/>
          <w:sz w:val="20"/>
          <w:szCs w:val="20"/>
          <w:lang w:eastAsia="en-GB"/>
        </w:rPr>
        <w:t xml:space="preserve">četiriju subjekata: Unije (EU), Norveške, Švicarske i Turske („subjekti”). Međutim, napominjemo da se pojedinačni </w:t>
      </w:r>
      <w:r w:rsidR="00EE106B">
        <w:rPr>
          <w:rFonts w:ascii="Times New Roman" w:hAnsi="Times New Roman"/>
          <w:sz w:val="20"/>
          <w:szCs w:val="20"/>
          <w:lang w:eastAsia="en-GB"/>
        </w:rPr>
        <w:t>sustavi</w:t>
      </w:r>
      <w:r w:rsidR="004D5473" w:rsidRPr="00C17E53">
        <w:rPr>
          <w:rFonts w:ascii="Times New Roman" w:hAnsi="Times New Roman"/>
          <w:sz w:val="20"/>
          <w:szCs w:val="20"/>
          <w:lang w:eastAsia="en-GB"/>
        </w:rPr>
        <w:t xml:space="preserve"> OSP-a tih subjekata mogu razlikovati s obzirom na obuhvaćene zemlje i proizvode. Stoga je svaka registracija važeća samo za potrebe izvoza u okviru </w:t>
      </w:r>
      <w:r w:rsidR="00EE106B">
        <w:rPr>
          <w:rFonts w:ascii="Times New Roman" w:hAnsi="Times New Roman"/>
          <w:sz w:val="20"/>
          <w:szCs w:val="20"/>
          <w:lang w:eastAsia="en-GB"/>
        </w:rPr>
        <w:t>sustava</w:t>
      </w:r>
      <w:r w:rsidR="004D5473" w:rsidRPr="00C17E53">
        <w:rPr>
          <w:rFonts w:ascii="Times New Roman" w:hAnsi="Times New Roman"/>
          <w:sz w:val="20"/>
          <w:szCs w:val="20"/>
          <w:lang w:eastAsia="en-GB"/>
        </w:rPr>
        <w:t xml:space="preserve"> OSP-a u skladu s kojim se vaša država smatra državom korisnicom.</w:t>
      </w:r>
    </w:p>
    <w:p w:rsidR="004D5473" w:rsidRPr="00C17E53" w:rsidRDefault="004D5473" w:rsidP="004D5473">
      <w:pPr>
        <w:spacing w:before="120" w:after="120"/>
        <w:ind w:left="850" w:hanging="850"/>
        <w:jc w:val="both"/>
        <w:rPr>
          <w:rFonts w:ascii="Times New Roman" w:hAnsi="Times New Roman"/>
          <w:sz w:val="20"/>
          <w:szCs w:val="20"/>
          <w:lang w:eastAsia="en-GB"/>
        </w:rPr>
      </w:pPr>
      <w:r w:rsidRPr="00C17E53">
        <w:rPr>
          <w:rFonts w:ascii="Times New Roman" w:hAnsi="Times New Roman"/>
          <w:sz w:val="20"/>
          <w:szCs w:val="20"/>
          <w:lang w:eastAsia="en-GB"/>
        </w:rPr>
        <w:t>(2)</w:t>
      </w:r>
      <w:r w:rsidRPr="00C17E53">
        <w:rPr>
          <w:rFonts w:ascii="Times New Roman" w:hAnsi="Times New Roman"/>
          <w:sz w:val="20"/>
          <w:szCs w:val="20"/>
          <w:lang w:eastAsia="en-GB"/>
        </w:rPr>
        <w:tab/>
        <w:t xml:space="preserve">Izvoznici i ponovni pošiljatelji iz EU-a </w:t>
      </w:r>
      <w:r w:rsidR="00EE106B">
        <w:rPr>
          <w:rFonts w:ascii="Times New Roman" w:hAnsi="Times New Roman"/>
          <w:sz w:val="20"/>
          <w:szCs w:val="20"/>
          <w:lang w:eastAsia="en-GB"/>
        </w:rPr>
        <w:t>moraju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navesti </w:t>
      </w:r>
      <w:r w:rsidR="00EE106B">
        <w:rPr>
          <w:rFonts w:ascii="Times New Roman" w:hAnsi="Times New Roman"/>
          <w:sz w:val="20"/>
          <w:szCs w:val="20"/>
          <w:lang w:eastAsia="en-GB"/>
        </w:rPr>
        <w:t>registracijski i identifikacijski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broj</w:t>
      </w:r>
      <w:r w:rsidR="00EE106B">
        <w:rPr>
          <w:rFonts w:ascii="Times New Roman" w:hAnsi="Times New Roman"/>
          <w:sz w:val="20"/>
          <w:szCs w:val="20"/>
          <w:lang w:eastAsia="en-GB"/>
        </w:rPr>
        <w:t xml:space="preserve"> gospodarskog subjekta (EORI)</w:t>
      </w:r>
      <w:r w:rsidRPr="00C17E53">
        <w:rPr>
          <w:rFonts w:ascii="Times New Roman" w:hAnsi="Times New Roman"/>
          <w:sz w:val="20"/>
          <w:szCs w:val="20"/>
          <w:lang w:eastAsia="en-GB"/>
        </w:rPr>
        <w:t>. Za izvoznike u državama korisnicama, Norveškoj, Švicarskoj i Turskoj obvezno je navesti identifikacijski broj subjekta (TIN).</w:t>
      </w:r>
    </w:p>
    <w:p w:rsidR="004D5473" w:rsidRPr="00BD3E5E" w:rsidRDefault="004D5473" w:rsidP="004D5473">
      <w:pPr>
        <w:spacing w:before="120" w:after="120"/>
        <w:ind w:left="850" w:hanging="850"/>
        <w:jc w:val="both"/>
        <w:rPr>
          <w:rFonts w:ascii="Times New Roman" w:hAnsi="Times New Roman"/>
          <w:sz w:val="20"/>
          <w:szCs w:val="20"/>
          <w:lang w:eastAsia="en-GB"/>
        </w:rPr>
      </w:pPr>
      <w:r w:rsidRPr="00C17E53">
        <w:rPr>
          <w:rFonts w:ascii="Times New Roman" w:hAnsi="Times New Roman"/>
          <w:sz w:val="20"/>
          <w:szCs w:val="20"/>
          <w:lang w:eastAsia="en-GB"/>
        </w:rPr>
        <w:t>(3)</w:t>
      </w:r>
      <w:r w:rsidRPr="00C17E53">
        <w:rPr>
          <w:rFonts w:ascii="Times New Roman" w:hAnsi="Times New Roman"/>
          <w:sz w:val="20"/>
          <w:szCs w:val="20"/>
          <w:lang w:eastAsia="en-GB"/>
        </w:rPr>
        <w:tab/>
      </w:r>
      <w:r w:rsidR="00EE106B">
        <w:rPr>
          <w:rFonts w:ascii="Times New Roman" w:hAnsi="Times New Roman"/>
          <w:sz w:val="20"/>
          <w:szCs w:val="20"/>
          <w:lang w:eastAsia="en-GB"/>
        </w:rPr>
        <w:t>Ako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se </w:t>
      </w:r>
      <w:r w:rsidR="000F5D7C">
        <w:rPr>
          <w:rFonts w:ascii="Times New Roman" w:hAnsi="Times New Roman"/>
          <w:sz w:val="20"/>
          <w:szCs w:val="20"/>
          <w:lang w:eastAsia="en-GB"/>
        </w:rPr>
        <w:t xml:space="preserve">za </w:t>
      </w:r>
      <w:r w:rsidRPr="00C17E53">
        <w:rPr>
          <w:rFonts w:ascii="Times New Roman" w:hAnsi="Times New Roman"/>
          <w:sz w:val="20"/>
          <w:szCs w:val="20"/>
          <w:lang w:eastAsia="en-GB"/>
        </w:rPr>
        <w:t>zahtjev</w:t>
      </w:r>
      <w:r w:rsidR="00EE106B">
        <w:rPr>
          <w:rFonts w:ascii="Times New Roman" w:hAnsi="Times New Roman"/>
          <w:sz w:val="20"/>
          <w:szCs w:val="20"/>
          <w:lang w:eastAsia="en-GB"/>
        </w:rPr>
        <w:t>e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za </w:t>
      </w:r>
      <w:r w:rsidR="00EE106B">
        <w:rPr>
          <w:rFonts w:ascii="Times New Roman" w:hAnsi="Times New Roman"/>
          <w:sz w:val="20"/>
          <w:szCs w:val="20"/>
          <w:lang w:eastAsia="en-GB"/>
        </w:rPr>
        <w:t>status registriranog izvoznika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="00EE106B">
        <w:rPr>
          <w:rFonts w:ascii="Times New Roman" w:hAnsi="Times New Roman"/>
          <w:sz w:val="20"/>
          <w:szCs w:val="20"/>
          <w:lang w:eastAsia="en-GB"/>
        </w:rPr>
        <w:t xml:space="preserve">ili druge razmjene informacija </w:t>
      </w:r>
      <w:r w:rsidR="000F5D7C">
        <w:rPr>
          <w:rFonts w:ascii="Times New Roman" w:hAnsi="Times New Roman"/>
          <w:sz w:val="20"/>
          <w:szCs w:val="20"/>
          <w:lang w:eastAsia="en-GB"/>
        </w:rPr>
        <w:t>među registriranim izvoznicima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i </w:t>
      </w:r>
      <w:r w:rsidR="000F5D7C">
        <w:rPr>
          <w:rFonts w:ascii="Times New Roman" w:hAnsi="Times New Roman"/>
          <w:sz w:val="20"/>
          <w:szCs w:val="20"/>
          <w:lang w:eastAsia="en-GB"/>
        </w:rPr>
        <w:t xml:space="preserve">nadležnim tijelima u zemljama korisnicama ili carinskim tijelima u državama članicama upotrebljavaju sredstva 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elektroničke obrade podataka, potpis i pečat </w:t>
      </w:r>
      <w:r w:rsidR="000F5D7C">
        <w:rPr>
          <w:rFonts w:ascii="Times New Roman" w:hAnsi="Times New Roman"/>
          <w:sz w:val="20"/>
          <w:szCs w:val="20"/>
          <w:lang w:eastAsia="en-GB"/>
        </w:rPr>
        <w:t xml:space="preserve">iz polja 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5, 6 i 7 </w:t>
      </w:r>
      <w:proofErr w:type="spellStart"/>
      <w:r w:rsidRPr="00C17E53">
        <w:rPr>
          <w:rFonts w:ascii="Times New Roman" w:hAnsi="Times New Roman"/>
          <w:sz w:val="20"/>
          <w:szCs w:val="20"/>
          <w:lang w:eastAsia="en-GB"/>
        </w:rPr>
        <w:t>zam</w:t>
      </w:r>
      <w:r>
        <w:rPr>
          <w:rFonts w:ascii="Times New Roman" w:hAnsi="Times New Roman"/>
          <w:sz w:val="20"/>
          <w:szCs w:val="20"/>
          <w:lang w:eastAsia="en-GB"/>
        </w:rPr>
        <w:t>i</w:t>
      </w:r>
      <w:r w:rsidRPr="00C17E53">
        <w:rPr>
          <w:rFonts w:ascii="Times New Roman" w:hAnsi="Times New Roman"/>
          <w:sz w:val="20"/>
          <w:szCs w:val="20"/>
          <w:lang w:eastAsia="en-GB"/>
        </w:rPr>
        <w:t>jenj</w:t>
      </w:r>
      <w:r w:rsidR="000F5D7C">
        <w:rPr>
          <w:rFonts w:ascii="Times New Roman" w:hAnsi="Times New Roman"/>
          <w:sz w:val="20"/>
          <w:szCs w:val="20"/>
          <w:lang w:eastAsia="en-GB"/>
        </w:rPr>
        <w:t>uju</w:t>
      </w:r>
      <w:proofErr w:type="spellEnd"/>
      <w:r w:rsidR="000F5D7C">
        <w:rPr>
          <w:rFonts w:ascii="Times New Roman" w:hAnsi="Times New Roman"/>
          <w:sz w:val="20"/>
          <w:szCs w:val="20"/>
          <w:lang w:eastAsia="en-GB"/>
        </w:rPr>
        <w:t xml:space="preserve"> se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="0045700A">
        <w:rPr>
          <w:rFonts w:ascii="Times New Roman" w:hAnsi="Times New Roman"/>
          <w:sz w:val="20"/>
          <w:szCs w:val="20"/>
          <w:lang w:eastAsia="en-GB"/>
        </w:rPr>
        <w:t>„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elektroničkom </w:t>
      </w:r>
      <w:r w:rsidR="000F5D7C">
        <w:rPr>
          <w:rFonts w:ascii="Times New Roman" w:hAnsi="Times New Roman"/>
          <w:sz w:val="20"/>
          <w:szCs w:val="20"/>
          <w:lang w:eastAsia="en-GB"/>
        </w:rPr>
        <w:t>ovjerom</w:t>
      </w:r>
      <w:r w:rsidR="0045700A">
        <w:rPr>
          <w:rFonts w:ascii="Times New Roman" w:hAnsi="Times New Roman"/>
          <w:sz w:val="20"/>
          <w:szCs w:val="20"/>
          <w:lang w:eastAsia="en-GB"/>
        </w:rPr>
        <w:t>“</w:t>
      </w:r>
      <w:r w:rsidRPr="00C17E53">
        <w:rPr>
          <w:rFonts w:ascii="Times New Roman" w:hAnsi="Times New Roman"/>
          <w:sz w:val="20"/>
          <w:szCs w:val="20"/>
          <w:lang w:eastAsia="en-GB"/>
        </w:rPr>
        <w:t xml:space="preserve">. </w:t>
      </w:r>
    </w:p>
    <w:p w:rsidR="00AC2981" w:rsidRDefault="00AC2981"/>
    <w:sectPr w:rsidR="00AC2981" w:rsidSect="00962A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39B2"/>
    <w:multiLevelType w:val="hybridMultilevel"/>
    <w:tmpl w:val="2D72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A455E"/>
    <w:multiLevelType w:val="hybridMultilevel"/>
    <w:tmpl w:val="AED6F1BE"/>
    <w:lvl w:ilvl="0" w:tplc="BE7ADA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73"/>
    <w:rsid w:val="00005D14"/>
    <w:rsid w:val="000F5D7C"/>
    <w:rsid w:val="00176802"/>
    <w:rsid w:val="00310348"/>
    <w:rsid w:val="00421FBC"/>
    <w:rsid w:val="0042434A"/>
    <w:rsid w:val="0045700A"/>
    <w:rsid w:val="004D5473"/>
    <w:rsid w:val="00653EF2"/>
    <w:rsid w:val="007E62B7"/>
    <w:rsid w:val="00962AED"/>
    <w:rsid w:val="00A13374"/>
    <w:rsid w:val="00A15BE1"/>
    <w:rsid w:val="00AC2981"/>
    <w:rsid w:val="00CF4A73"/>
    <w:rsid w:val="00EA2F75"/>
    <w:rsid w:val="00EE106B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AF25"/>
  <w15:docId w15:val="{3D465E86-C95C-4AEA-ACCD-418747B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A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47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1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justice/data-protection/bodies/authorities/index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CD5B-38C2-4313-94DC-4EB5ABF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Lučić</dc:creator>
  <cp:lastModifiedBy>Senad Erdec</cp:lastModifiedBy>
  <cp:revision>2</cp:revision>
  <dcterms:created xsi:type="dcterms:W3CDTF">2020-11-10T13:32:00Z</dcterms:created>
  <dcterms:modified xsi:type="dcterms:W3CDTF">2020-11-10T13:32:00Z</dcterms:modified>
</cp:coreProperties>
</file>